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spacing w:line="7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关于宁波市汽车流通协会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201</w:t>
      </w:r>
      <w:r>
        <w:rPr>
          <w:rFonts w:hint="eastAsia" w:eastAsia="方正小标宋简体"/>
          <w:sz w:val="44"/>
          <w:szCs w:val="44"/>
          <w:lang w:val="en-US" w:eastAsia="zh-CN"/>
        </w:rPr>
        <w:t>9</w:t>
      </w:r>
      <w:r>
        <w:rPr>
          <w:rFonts w:eastAsia="方正小标宋简体"/>
          <w:sz w:val="44"/>
          <w:szCs w:val="44"/>
        </w:rPr>
        <w:t>年度财务执行情况的报告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根据浙江省民政厅、浙江省财政厅、浙江省物价局《关于进一步加强社会团体财务管理的通知》的文件精神，自201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年12月，宁波市汽车流通协会各会员单位上缴会费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441000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（其中平行进口汽车分会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32000元；融资租赁分会104000元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，银行利息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1170.67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442170.67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一年来，各项经费支出共计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352123.1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元。其中业务活动成本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195285.9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元，占总支出的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55.46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%。其中会务费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137379.7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元（包括会员大会、会长例会等），印刷费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2915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5271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元，慰问费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28099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21621.2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管理费用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156837.2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元，占总支出的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44.54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%。其中办公费用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31231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元，接待费用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14587.39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元，法律顾问费5000元，网络通信费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元，工作人员工资津贴等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71900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元，房租费15000元，交通费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4242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福利费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4300元，其他8176.81元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年12月底，累计结余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396818.79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平行车分会因未单独开户，收入支出独立记帐。201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年会员单位上缴会费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32000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无支出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。结余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32000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元。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租赁分会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因未单独开户，收入支出独立记帐。201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年会员单位上缴会费1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000元，各项费用支出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58490.29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元。结余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45509.71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元。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年来，宁波市汽车流通协会秘书处本着少花钱多办事的原则，严格控制经费开支，会费坚持专款专用。经会计师事务所审计，认为宁波市汽车流通协会秘书处的财务制度健全，使用范围得当，审批比较严格，费用开支符合规定，没有发生违反财务纪律的问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YWU4Nzc5ZDBjNzNmOGM1OGU0NmViYzI0NDEwZDUifQ=="/>
  </w:docVars>
  <w:rsids>
    <w:rsidRoot w:val="46040EF7"/>
    <w:rsid w:val="46040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2022-10-13T07:38:00Z</dcterms:created>
  <dc:creator>闲情逸致</dc:creator>
  <cp:lastModifiedBy>闲情逸致</cp:lastModifiedBy>
  <dcterms:modified xsi:type="dcterms:W3CDTF">2022-10-13T07:39:02Z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40D0E36942E04CC8809FA98A4D76BC16</vt:lpwstr>
  </property>
</Properties>
</file>